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92E" w:rsidRPr="00CB32F2" w:rsidRDefault="00CB592E">
      <w:pPr>
        <w:rPr>
          <w:b/>
          <w:sz w:val="28"/>
          <w:szCs w:val="28"/>
        </w:rPr>
      </w:pPr>
      <w:r w:rsidRPr="00CB32F2">
        <w:rPr>
          <w:b/>
          <w:sz w:val="28"/>
          <w:szCs w:val="28"/>
        </w:rPr>
        <w:t xml:space="preserve">DEBIT REWARDS: GOOD </w:t>
      </w:r>
      <w:r>
        <w:rPr>
          <w:b/>
          <w:sz w:val="28"/>
          <w:szCs w:val="28"/>
        </w:rPr>
        <w:t>IDEA</w:t>
      </w:r>
      <w:r w:rsidRPr="00CB32F2">
        <w:rPr>
          <w:b/>
          <w:sz w:val="28"/>
          <w:szCs w:val="28"/>
        </w:rPr>
        <w:t xml:space="preserve">? BAD </w:t>
      </w:r>
      <w:r>
        <w:rPr>
          <w:b/>
          <w:sz w:val="28"/>
          <w:szCs w:val="28"/>
        </w:rPr>
        <w:t>IDEA</w:t>
      </w:r>
      <w:r w:rsidRPr="00CB32F2">
        <w:rPr>
          <w:b/>
          <w:sz w:val="28"/>
          <w:szCs w:val="28"/>
        </w:rPr>
        <w:t>?</w:t>
      </w:r>
    </w:p>
    <w:p w:rsidR="00CB592E" w:rsidRDefault="00CB592E"/>
    <w:p w:rsidR="00CB592E" w:rsidRDefault="00CB592E">
      <w:r>
        <w:t>As with so many of life’s big questions, the answer depends.</w:t>
      </w:r>
    </w:p>
    <w:p w:rsidR="00CB592E" w:rsidRDefault="00CB592E">
      <w:r>
        <w:t xml:space="preserve">In this case, it depends on: </w:t>
      </w:r>
    </w:p>
    <w:p w:rsidR="00CB592E" w:rsidRDefault="00CB592E" w:rsidP="00981919">
      <w:pPr>
        <w:pStyle w:val="ListParagraph"/>
        <w:numPr>
          <w:ilvl w:val="0"/>
          <w:numId w:val="2"/>
        </w:numPr>
      </w:pPr>
      <w:r>
        <w:t>Why your bank wants to promote use of debit cards</w:t>
      </w:r>
    </w:p>
    <w:p w:rsidR="00CB592E" w:rsidRDefault="00CB592E" w:rsidP="00981919">
      <w:pPr>
        <w:pStyle w:val="ListParagraph"/>
        <w:numPr>
          <w:ilvl w:val="0"/>
          <w:numId w:val="2"/>
        </w:numPr>
      </w:pPr>
      <w:r>
        <w:t>What income the bank gets from debit products</w:t>
      </w:r>
    </w:p>
    <w:p w:rsidR="00CB592E" w:rsidRDefault="00CB592E" w:rsidP="00981919">
      <w:r>
        <w:t>Let’s take each of these in turn.</w:t>
      </w:r>
    </w:p>
    <w:p w:rsidR="00CB592E" w:rsidRDefault="00CB592E" w:rsidP="00981919"/>
    <w:p w:rsidR="00CB592E" w:rsidRPr="008D2AEF" w:rsidRDefault="00CB592E" w:rsidP="008D2AEF">
      <w:pPr>
        <w:rPr>
          <w:b/>
        </w:rPr>
      </w:pPr>
      <w:r w:rsidRPr="008D2AEF">
        <w:rPr>
          <w:b/>
        </w:rPr>
        <w:t xml:space="preserve">Why </w:t>
      </w:r>
      <w:r>
        <w:rPr>
          <w:b/>
        </w:rPr>
        <w:t xml:space="preserve">does </w:t>
      </w:r>
      <w:r w:rsidRPr="00F35076">
        <w:rPr>
          <w:b/>
        </w:rPr>
        <w:t xml:space="preserve">your bank </w:t>
      </w:r>
      <w:r w:rsidRPr="008D2AEF">
        <w:rPr>
          <w:b/>
        </w:rPr>
        <w:t>want</w:t>
      </w:r>
      <w:r>
        <w:rPr>
          <w:b/>
        </w:rPr>
        <w:t xml:space="preserve"> </w:t>
      </w:r>
      <w:r w:rsidRPr="008D2AEF">
        <w:rPr>
          <w:b/>
        </w:rPr>
        <w:t>to promote use of debit cards</w:t>
      </w:r>
      <w:r>
        <w:rPr>
          <w:b/>
        </w:rPr>
        <w:t>?</w:t>
      </w:r>
    </w:p>
    <w:p w:rsidR="00CB592E" w:rsidRDefault="00CB592E" w:rsidP="00981919">
      <w:r>
        <w:t>Banks encourage their customers to use debit cards for a range of reasons:</w:t>
      </w:r>
    </w:p>
    <w:p w:rsidR="00CB592E" w:rsidRDefault="00CB592E" w:rsidP="00981919"/>
    <w:p w:rsidR="00CB592E" w:rsidRPr="00205546" w:rsidRDefault="00CB592E" w:rsidP="00CB32F2">
      <w:pPr>
        <w:pStyle w:val="ListParagraph"/>
        <w:numPr>
          <w:ilvl w:val="0"/>
          <w:numId w:val="3"/>
        </w:numPr>
        <w:ind w:left="360"/>
        <w:rPr>
          <w:b/>
        </w:rPr>
      </w:pPr>
      <w:r w:rsidRPr="00205546">
        <w:rPr>
          <w:b/>
        </w:rPr>
        <w:t>To cut costs</w:t>
      </w:r>
    </w:p>
    <w:p w:rsidR="00CB592E" w:rsidRDefault="00CB592E" w:rsidP="00CB32F2">
      <w:r>
        <w:t>Electronic payment transactions are cheaper for banks to process than paper. Most institutions are working towards phasing out cheque use at some point, and have to provide customers with an alternative. Debit cards, with an appropriate level of built-in authorisation, are a very acceptable solution for the vast majority of customers. Still, there is almost always some level of resistance to the change, and a rewards programme can help to sugar the pill.</w:t>
      </w:r>
    </w:p>
    <w:p w:rsidR="00CB592E" w:rsidRDefault="00CB592E" w:rsidP="00CB32F2"/>
    <w:p w:rsidR="00CB592E" w:rsidRDefault="00CB592E" w:rsidP="00CB32F2">
      <w:r>
        <w:t xml:space="preserve">The cost of paper vs. electronic argument is equally relevant to cash withdrawals: it’s cheaper to have customers access their funds using a debit card at an ATM rather than cashing a cheque with a teller at a branch. </w:t>
      </w:r>
    </w:p>
    <w:p w:rsidR="00CB592E" w:rsidRDefault="00CB592E" w:rsidP="00CB32F2"/>
    <w:p w:rsidR="00CB592E" w:rsidRDefault="00CB592E" w:rsidP="00CB32F2">
      <w:r>
        <w:t>One other way in which debit products help cut costs is that they are the portal through which customers access online, mobile and telephone banking – all cheaper to operate than the bricks-and-mortar equivalent</w:t>
      </w:r>
    </w:p>
    <w:p w:rsidR="00CB592E" w:rsidRDefault="00CB592E" w:rsidP="00CB32F2"/>
    <w:p w:rsidR="00CB592E" w:rsidRPr="00205546" w:rsidRDefault="00CB592E" w:rsidP="00CB32F2">
      <w:pPr>
        <w:pStyle w:val="ListParagraph"/>
        <w:numPr>
          <w:ilvl w:val="0"/>
          <w:numId w:val="3"/>
        </w:numPr>
        <w:ind w:left="360"/>
        <w:rPr>
          <w:b/>
        </w:rPr>
      </w:pPr>
      <w:r w:rsidRPr="00205546">
        <w:rPr>
          <w:b/>
        </w:rPr>
        <w:t>To build account balances</w:t>
      </w:r>
    </w:p>
    <w:p w:rsidR="00CB592E" w:rsidRDefault="00CB592E" w:rsidP="00CB32F2">
      <w:r>
        <w:t xml:space="preserve">There’s a war going on: it’s a war for deposits to replace volatile wholesale markets as a source of bank funding. In </w:t>
      </w:r>
      <w:smartTag w:uri="urn:schemas-microsoft-com:office:smarttags" w:element="country-region">
        <w:smartTag w:uri="urn:schemas-microsoft-com:office:smarttags" w:element="place">
          <w:r>
            <w:t>Spain</w:t>
          </w:r>
        </w:smartTag>
      </w:smartTag>
      <w:r>
        <w:t xml:space="preserve">, for example, the </w:t>
      </w:r>
      <w:r w:rsidRPr="004A4838">
        <w:t>battle for customer funds has become so hectic that the regulator has had to step in to curb offers that were becoming extreme.</w:t>
      </w:r>
    </w:p>
    <w:p w:rsidR="00CB592E" w:rsidRDefault="00CB592E" w:rsidP="00CB32F2"/>
    <w:p w:rsidR="00CB592E" w:rsidRDefault="00CB592E" w:rsidP="00CB32F2">
      <w:r>
        <w:t>A much cheaper strategy is to encourage customers to change their payment patterns: in many markets, after their salary has been banked customers draw out large sums of cash at an ATM</w:t>
      </w:r>
      <w:r w:rsidRPr="00775007">
        <w:t xml:space="preserve"> </w:t>
      </w:r>
      <w:r>
        <w:t xml:space="preserve">to pay their bills. The most heavily used ATM in one African territory, for instance, is outside a large supermarket. </w:t>
      </w:r>
    </w:p>
    <w:p w:rsidR="00CB592E" w:rsidRDefault="009474A7" w:rsidP="00CB32F2">
      <w:pPr>
        <w:pStyle w:val="ListParagraph"/>
        <w:ind w:left="360"/>
      </w:pPr>
      <w:r>
        <w:rPr>
          <w:noProof/>
          <w:lang w:eastAsia="en-GB"/>
        </w:rPr>
        <w:drawing>
          <wp:anchor distT="0" distB="0" distL="114300" distR="114300" simplePos="0" relativeHeight="251656704" behindDoc="0" locked="0" layoutInCell="1" allowOverlap="1">
            <wp:simplePos x="0" y="0"/>
            <wp:positionH relativeFrom="column">
              <wp:posOffset>0</wp:posOffset>
            </wp:positionH>
            <wp:positionV relativeFrom="paragraph">
              <wp:posOffset>168910</wp:posOffset>
            </wp:positionV>
            <wp:extent cx="3886200" cy="216217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886200" cy="2162175"/>
                    </a:xfrm>
                    <a:prstGeom prst="rect">
                      <a:avLst/>
                    </a:prstGeom>
                    <a:noFill/>
                  </pic:spPr>
                </pic:pic>
              </a:graphicData>
            </a:graphic>
          </wp:anchor>
        </w:drawing>
      </w:r>
    </w:p>
    <w:p w:rsidR="00CB592E" w:rsidRDefault="00CB592E" w:rsidP="00CB32F2">
      <w:r>
        <w:t xml:space="preserve">Far better, from the bank’s point of view, for the customer to make those payments using a debit card at POS, thus keeping the bank balance at a higher level than otherwise it would have been.  The chart shows the effect on balances of the two different payment methods. </w:t>
      </w:r>
    </w:p>
    <w:p w:rsidR="00CB592E" w:rsidRDefault="00CB592E" w:rsidP="00CB32F2">
      <w:r>
        <w:br w:type="page"/>
      </w:r>
      <w:r>
        <w:lastRenderedPageBreak/>
        <w:t xml:space="preserve">As well, the customer is more secure when not carrying around more cash than is absolutely necessary. </w:t>
      </w:r>
    </w:p>
    <w:p w:rsidR="00CB592E" w:rsidRDefault="00CB592E" w:rsidP="00CB32F2">
      <w:pPr>
        <w:ind w:left="360"/>
      </w:pPr>
    </w:p>
    <w:p w:rsidR="00CB592E" w:rsidRDefault="00CB592E" w:rsidP="00CB32F2">
      <w:r>
        <w:t xml:space="preserve">Naturally, this means that the acquiring side of the business has to do its job, by ensuring that merchants will accept debit cards. But the real challenge is to give customers a reason to change their behaviour. </w:t>
      </w:r>
    </w:p>
    <w:p w:rsidR="00CB592E" w:rsidRPr="002F4F6F" w:rsidRDefault="00CB592E" w:rsidP="00CB32F2">
      <w:pPr>
        <w:rPr>
          <w:b/>
        </w:rPr>
      </w:pPr>
    </w:p>
    <w:p w:rsidR="00CB592E" w:rsidRPr="00205546" w:rsidRDefault="00CB592E" w:rsidP="00CB32F2">
      <w:pPr>
        <w:pStyle w:val="ListParagraph"/>
        <w:numPr>
          <w:ilvl w:val="0"/>
          <w:numId w:val="3"/>
        </w:numPr>
        <w:ind w:left="360"/>
        <w:rPr>
          <w:b/>
        </w:rPr>
      </w:pPr>
      <w:r w:rsidRPr="00205546">
        <w:rPr>
          <w:b/>
        </w:rPr>
        <w:t>To retain customers</w:t>
      </w:r>
    </w:p>
    <w:p w:rsidR="00CB592E" w:rsidRDefault="00CB592E" w:rsidP="00CB32F2">
      <w:r>
        <w:t>Although the level of customer inertia varies from country to country there is growing evidence that retail accounts are more footloose than they were: across Europe, for example, as many as one in four customers accesses at least two products from a second bank</w:t>
      </w:r>
      <w:r>
        <w:rPr>
          <w:rStyle w:val="FootnoteReference"/>
        </w:rPr>
        <w:footnoteReference w:id="1"/>
      </w:r>
      <w:r>
        <w:t>. Partly this comes from regulatory pressure to make it easier to change bank, partly it comes from increasing awareness of competitive offerings, especially among more financially secure customers – precisely the ones who are most attractive to bank marketers.</w:t>
      </w:r>
    </w:p>
    <w:p w:rsidR="00CB592E" w:rsidRDefault="00CB592E" w:rsidP="00CB32F2"/>
    <w:p w:rsidR="00CB592E" w:rsidRDefault="00C12177" w:rsidP="00CB32F2">
      <w:r>
        <w:rPr>
          <w:noProof/>
          <w:lang w:eastAsia="en-GB"/>
        </w:rPr>
        <w:pict>
          <v:shapetype id="_x0000_t202" coordsize="21600,21600" o:spt="202" path="m,l,21600r21600,l21600,xe">
            <v:stroke joinstyle="miter"/>
            <v:path gradientshapeok="t" o:connecttype="rect"/>
          </v:shapetype>
          <v:shape id="_x0000_s1027" type="#_x0000_t202" style="position:absolute;margin-left:324pt;margin-top:11.35pt;width:122.35pt;height:1in;z-index:-251658752" wrapcoords="-133 -225 -133 21375 21733 21375 21733 -225 -133 -225" fillcolor="#f2f2f2">
            <v:textbox>
              <w:txbxContent>
                <w:p w:rsidR="00CB592E" w:rsidRPr="00974217" w:rsidRDefault="00CB592E" w:rsidP="00974217">
                  <w:pPr>
                    <w:rPr>
                      <w:i/>
                    </w:rPr>
                  </w:pPr>
                  <w:r w:rsidRPr="00974217">
                    <w:rPr>
                      <w:i/>
                    </w:rPr>
                    <w:t>“</w:t>
                  </w:r>
                  <w:r>
                    <w:rPr>
                      <w:i/>
                    </w:rPr>
                    <w:t>Profitable customers are beginning to know their value: keeping them is vital”</w:t>
                  </w:r>
                </w:p>
                <w:p w:rsidR="00CB592E" w:rsidRDefault="00CB592E"/>
              </w:txbxContent>
            </v:textbox>
            <w10:wrap type="tight"/>
          </v:shape>
        </w:pict>
      </w:r>
      <w:r w:rsidR="00CB592E">
        <w:t xml:space="preserve">Against this background, anything which increases “stickiness” is welcome. And one certain way to build stickiness is to encourage customers to use a debit card. Still better if these customers charge their recurring payments – magazine subscriptions, insurance premiums, utility and phone bills, for example – to their debit card. As many of them will if they can see there is a reason, above and beyond convenience, for making the change. </w:t>
      </w:r>
    </w:p>
    <w:p w:rsidR="00CB592E" w:rsidRPr="00974217" w:rsidRDefault="00CB592E" w:rsidP="00CB32F2">
      <w:pPr>
        <w:rPr>
          <w:b/>
        </w:rPr>
      </w:pPr>
    </w:p>
    <w:p w:rsidR="00CB592E" w:rsidRPr="00205546" w:rsidRDefault="00CB592E" w:rsidP="00CB32F2">
      <w:pPr>
        <w:pStyle w:val="ListParagraph"/>
        <w:numPr>
          <w:ilvl w:val="0"/>
          <w:numId w:val="3"/>
        </w:numPr>
        <w:ind w:left="360"/>
        <w:rPr>
          <w:b/>
        </w:rPr>
      </w:pPr>
      <w:r w:rsidRPr="00205546">
        <w:rPr>
          <w:b/>
        </w:rPr>
        <w:t>To defend new price models</w:t>
      </w:r>
    </w:p>
    <w:p w:rsidR="00CB592E" w:rsidRDefault="00CB592E" w:rsidP="00CB32F2">
      <w:r>
        <w:t xml:space="preserve">Banks in different markets have taken different approaches to pricing retail services: in the </w:t>
      </w:r>
      <w:smartTag w:uri="urn:schemas-microsoft-com:office:smarttags" w:element="country-region">
        <w:r>
          <w:t>US</w:t>
        </w:r>
      </w:smartTag>
      <w:r>
        <w:t xml:space="preserve"> and the </w:t>
      </w:r>
      <w:smartTag w:uri="urn:schemas-microsoft-com:office:smarttags" w:element="country-region">
        <w:smartTag w:uri="urn:schemas-microsoft-com:office:smarttags" w:element="place">
          <w:r>
            <w:t>UK</w:t>
          </w:r>
        </w:smartTag>
      </w:smartTag>
      <w:r>
        <w:t xml:space="preserve">, for example, basic bank accounts are usually provided free, income being derived partly from the non-interest- bearing cash balances they generate, and partly from overdraft and other fees charged to borrowers. </w:t>
      </w:r>
    </w:p>
    <w:p w:rsidR="00CB592E" w:rsidRDefault="00CB592E" w:rsidP="00CB32F2"/>
    <w:p w:rsidR="00CB592E" w:rsidRDefault="00CB592E" w:rsidP="00CB32F2">
      <w:r>
        <w:t>However, this model is under pressure from regulators, who object to what they see as the cross-subsidy of most retail customers by the fee-paying minority. If the rule-makers succeed in changing the retail pricing structure, it’s very likely that many customers will be charged for services which previously were free. In this scenario, some banks may try to retain their more attractive customers – for example, those who maintain substantial cash balances – by offering a sweetener in the form of multi-product rewards, including debit rewards.</w:t>
      </w:r>
    </w:p>
    <w:p w:rsidR="00CB592E" w:rsidRPr="005870BA" w:rsidRDefault="00CB592E" w:rsidP="00CB32F2">
      <w:pPr>
        <w:rPr>
          <w:b/>
        </w:rPr>
      </w:pPr>
    </w:p>
    <w:p w:rsidR="00CB592E" w:rsidRPr="00205546" w:rsidRDefault="00CB592E" w:rsidP="00CB32F2">
      <w:pPr>
        <w:pStyle w:val="ListParagraph"/>
        <w:numPr>
          <w:ilvl w:val="0"/>
          <w:numId w:val="3"/>
        </w:numPr>
        <w:ind w:left="360"/>
        <w:rPr>
          <w:b/>
        </w:rPr>
      </w:pPr>
      <w:r w:rsidRPr="00205546">
        <w:rPr>
          <w:b/>
        </w:rPr>
        <w:t>To build brand engagement</w:t>
      </w:r>
    </w:p>
    <w:p w:rsidR="00CB592E" w:rsidRDefault="00CB592E" w:rsidP="00CB32F2">
      <w:r>
        <w:t>Understandably, banks are keen that customers should be very aware of the relationship they share: what better way to build brand engagement than for the customer to see and use a bank product virtually every day? With transaction values typically lower than a credit card, debit products are perhaps the most powerful means of putting the bank’s brand in front of customers.</w:t>
      </w:r>
    </w:p>
    <w:p w:rsidR="00CB592E" w:rsidRDefault="00CB592E" w:rsidP="00775007">
      <w:pPr>
        <w:pStyle w:val="ListParagraph"/>
        <w:ind w:left="0"/>
      </w:pPr>
    </w:p>
    <w:p w:rsidR="00CB592E" w:rsidRPr="00205546" w:rsidRDefault="00CB592E" w:rsidP="00CB32F2">
      <w:pPr>
        <w:pStyle w:val="ListParagraph"/>
        <w:numPr>
          <w:ilvl w:val="0"/>
          <w:numId w:val="3"/>
        </w:numPr>
        <w:ind w:left="360"/>
        <w:rPr>
          <w:b/>
        </w:rPr>
      </w:pPr>
      <w:r w:rsidRPr="00205546">
        <w:rPr>
          <w:b/>
        </w:rPr>
        <w:t>To sell more products</w:t>
      </w:r>
    </w:p>
    <w:p w:rsidR="00CB592E" w:rsidRDefault="00CB592E" w:rsidP="00CB32F2">
      <w:r>
        <w:t xml:space="preserve">Perhaps the most compelling reason to promote the use of debit cards is the great Eldorado of bank marketing: cross-sell. Wells Fargo has calculated that it offers retail customers some 16 products and </w:t>
      </w:r>
      <w:r>
        <w:lastRenderedPageBreak/>
        <w:t>services. Most banks think they are doing well if they get close to a cross-sell ratio of 4 or 5. All of them agree that the entry level product is the current or checking account. The challenge is how to move customers beyond that. One easy add-on product is the debit card: with that first crucial hurdle crossed, it’s easier to identify customers who are willing to consider buying more profitable products.</w:t>
      </w:r>
    </w:p>
    <w:p w:rsidR="00CB592E" w:rsidRDefault="00CB592E" w:rsidP="00CB32F2">
      <w:pPr>
        <w:pStyle w:val="ListParagraph"/>
        <w:ind w:left="0"/>
      </w:pPr>
    </w:p>
    <w:p w:rsidR="00CB592E" w:rsidRDefault="00CB592E" w:rsidP="00CB32F2">
      <w:pPr>
        <w:pStyle w:val="ListParagraph"/>
        <w:ind w:left="0"/>
      </w:pPr>
      <w:r>
        <w:t xml:space="preserve">Finally, </w:t>
      </w:r>
      <w:r w:rsidRPr="00202026">
        <w:t>ATMs in many markets now provide customers with third party services, such as topping up mobile phones, which generate useful revenue for the bank. It makes sense to encourage customers to use them.</w:t>
      </w:r>
    </w:p>
    <w:p w:rsidR="00CB592E" w:rsidRDefault="00CB592E" w:rsidP="008D2AEF"/>
    <w:p w:rsidR="00CB592E" w:rsidRDefault="00CB592E" w:rsidP="008D2AEF">
      <w:r>
        <w:t xml:space="preserve">Naturally, there are exceptions to these arguments: in </w:t>
      </w:r>
      <w:smartTag w:uri="urn:schemas-microsoft-com:office:smarttags" w:element="country-region">
        <w:smartTag w:uri="urn:schemas-microsoft-com:office:smarttags" w:element="place">
          <w:r>
            <w:t>Korea</w:t>
          </w:r>
        </w:smartTag>
      </w:smartTag>
      <w:r>
        <w:t>, for example, where cash is relatively little used for payments and cheques hardly at all, the impact of debit cards on balance-building and cost-cutting will be much weaker. On the other hand, the cross-sell and retention effects are as relevant here as elsewhere.</w:t>
      </w:r>
    </w:p>
    <w:p w:rsidR="00CB592E" w:rsidRDefault="00CB592E" w:rsidP="008D2AEF"/>
    <w:p w:rsidR="00CB592E" w:rsidRDefault="00CB592E" w:rsidP="008D2AEF">
      <w:r>
        <w:t>Summing up,  there are strong business reasons for banks to encourage their customers to use debit cards.  That covers the “Why?” of debit rewards. Now let’s turn to the “How Much?”</w:t>
      </w:r>
    </w:p>
    <w:p w:rsidR="00CB592E" w:rsidRDefault="00CB592E" w:rsidP="00CF21D7">
      <w:pPr>
        <w:ind w:left="360"/>
      </w:pPr>
    </w:p>
    <w:p w:rsidR="00CB592E" w:rsidRPr="00CF21D7" w:rsidRDefault="00CB592E" w:rsidP="00CF21D7">
      <w:pPr>
        <w:rPr>
          <w:b/>
        </w:rPr>
      </w:pPr>
      <w:r w:rsidRPr="00CF21D7">
        <w:rPr>
          <w:b/>
        </w:rPr>
        <w:t xml:space="preserve">What income </w:t>
      </w:r>
      <w:r>
        <w:rPr>
          <w:b/>
        </w:rPr>
        <w:t>does your bank earn from</w:t>
      </w:r>
      <w:r w:rsidRPr="00CF21D7">
        <w:rPr>
          <w:b/>
        </w:rPr>
        <w:t xml:space="preserve"> debit card</w:t>
      </w:r>
      <w:r>
        <w:rPr>
          <w:b/>
        </w:rPr>
        <w:t>s?</w:t>
      </w:r>
    </w:p>
    <w:p w:rsidR="00CB592E" w:rsidRDefault="00CB592E" w:rsidP="00B05047">
      <w:r>
        <w:t>Clearly, the richness of the rewards programme will depend on the revenues available to fund it.</w:t>
      </w:r>
    </w:p>
    <w:p w:rsidR="00CB592E" w:rsidRDefault="00CB592E" w:rsidP="008D2AEF"/>
    <w:p w:rsidR="00CB592E" w:rsidRDefault="00CB592E" w:rsidP="008D2AEF">
      <w:r>
        <w:t>Accordingly, the “How Much?” question depends on the “Why?”  If the bank is looking at debit rewards in the context of cross-sell or customer retention, then the income to be set against the cost of the rewards programme should be the incremental revenue earned across all the products, including debit, targeted by the programme.</w:t>
      </w:r>
    </w:p>
    <w:p w:rsidR="00CB592E" w:rsidRDefault="00CB592E" w:rsidP="008D2AEF"/>
    <w:p w:rsidR="00CB592E" w:rsidRDefault="00CB592E" w:rsidP="008D2AEF">
      <w:r>
        <w:t xml:space="preserve">However, if the debit rewards programme is stand-alone, then the main sources of revenue will be the interchange earned on the debit transaction, plus any FX earnings, together with the cost avoided if the transaction were to be paper-based. Complicating the issue a little is the trade-off between costs and revenues incurred on “on-us” and “off-us” transactions. </w:t>
      </w:r>
    </w:p>
    <w:p w:rsidR="00CB592E" w:rsidRDefault="00CB592E" w:rsidP="008D2AEF"/>
    <w:p w:rsidR="00CB592E" w:rsidRDefault="00CB592E" w:rsidP="008D2AEF">
      <w:r>
        <w:t xml:space="preserve">Each bank will have its own method for calculating these incremental revenues and costs. The one constant is the level of debit interchange – and this varies widely. In some markets, the interplay of </w:t>
      </w:r>
      <w:r w:rsidRPr="00133ED4">
        <w:t xml:space="preserve">financial dynamics </w:t>
      </w:r>
      <w:r>
        <w:t>between acquirer and issuer has resulted in debit interchange actually being negative. In others, it can range as high as nearly 2% for premium debit products.</w:t>
      </w:r>
    </w:p>
    <w:p w:rsidR="00CB592E" w:rsidRDefault="00CB592E" w:rsidP="008D2AEF"/>
    <w:p w:rsidR="00CB592E" w:rsidRDefault="00C12177" w:rsidP="008D2AEF">
      <w:r>
        <w:rPr>
          <w:noProof/>
          <w:lang w:eastAsia="en-GB"/>
        </w:rPr>
        <w:pict>
          <v:shape id="_x0000_s1028" type="#_x0000_t202" style="position:absolute;margin-left:320.15pt;margin-top:15pt;width:127.45pt;height:70.4pt;z-index:-251657728" wrapcoords="-127 -230 -127 21370 21727 21370 21727 -230 -127 -230" fillcolor="#f2f2f2">
            <v:textbox>
              <w:txbxContent>
                <w:p w:rsidR="00CB592E" w:rsidRPr="00974217" w:rsidRDefault="00CB592E" w:rsidP="00974217">
                  <w:pPr>
                    <w:rPr>
                      <w:i/>
                    </w:rPr>
                  </w:pPr>
                  <w:r w:rsidRPr="00974217">
                    <w:rPr>
                      <w:i/>
                    </w:rPr>
                    <w:t>“Income sets the ceiling for the value of a rewards programme. But  there’s a floor, too.”</w:t>
                  </w:r>
                </w:p>
                <w:p w:rsidR="00CB592E" w:rsidRDefault="00CB592E" w:rsidP="00974217"/>
              </w:txbxContent>
            </v:textbox>
            <w10:wrap type="tight"/>
          </v:shape>
        </w:pict>
      </w:r>
      <w:r w:rsidR="00CB592E">
        <w:t xml:space="preserve">What’s absolutely clear is that any rewards programme needs income to fund it. Illustrating this very starkly is the situation in the </w:t>
      </w:r>
      <w:smartTag w:uri="urn:schemas-microsoft-com:office:smarttags" w:element="place">
        <w:r w:rsidR="00CB592E">
          <w:t>US</w:t>
        </w:r>
      </w:smartTag>
      <w:r w:rsidR="00CB592E">
        <w:t xml:space="preserve">, where proposed legislation will drive debit card earnings down from an average of 44 cents to 12 cents a transaction. This “Durbin Amendment” is still under discussion by lawmakers, but the effects are being felt already: ahead of the estimated $14 billion hit, banks like JP Morgan Chase, Wells Fargo, Wachovia, SunTrust and PNC have axed their debit card rewards programmes. Bank of America, Citi and TD are said to be considering their options. </w:t>
      </w:r>
    </w:p>
    <w:p w:rsidR="00CB592E" w:rsidRDefault="00CB592E" w:rsidP="008D2AEF"/>
    <w:p w:rsidR="00CB592E" w:rsidRDefault="00CB592E" w:rsidP="008D2AEF">
      <w:r>
        <w:t xml:space="preserve">Income therefore will set a ceiling for the value of a rewards programme. But programme value will also have a floor: what customers see as being a worthwhile reason to change behaviour. Partly, this </w:t>
      </w:r>
      <w:r>
        <w:lastRenderedPageBreak/>
        <w:t xml:space="preserve">will be convenience. But convenience alone cannot be enough: at point of sale, my competitor’s debit card works as well as mine. We have to educate customers, giving them additional reasons for using my card – otherwise, it’s simply a commodity product, indistinguishable from any other. </w:t>
      </w:r>
    </w:p>
    <w:p w:rsidR="00CB592E" w:rsidRDefault="00CB592E" w:rsidP="008D2AEF"/>
    <w:p w:rsidR="00CB592E" w:rsidRDefault="00CB592E" w:rsidP="008D2AEF">
      <w:r>
        <w:t>Enter rewards.</w:t>
      </w:r>
    </w:p>
    <w:p w:rsidR="00CB592E" w:rsidRDefault="00CB592E" w:rsidP="008D2AEF"/>
    <w:p w:rsidR="00CB592E" w:rsidRDefault="00CB592E" w:rsidP="008D2AEF">
      <w:r>
        <w:t>But what sort of rewards? Cash back? Points? An innovation like “Save the Change”? Merchant-funded promotions? Prize draws?</w:t>
      </w:r>
    </w:p>
    <w:p w:rsidR="00CB592E" w:rsidRDefault="00CB592E" w:rsidP="008D2AEF"/>
    <w:p w:rsidR="00CB592E" w:rsidRDefault="00CB592E" w:rsidP="00FD3802">
      <w:r>
        <w:t xml:space="preserve">That’s a discussion for another day. For now, let’s go back to the question we posed at the beginning: Are </w:t>
      </w:r>
      <w:r w:rsidRPr="00FD3802">
        <w:t xml:space="preserve">debit rewards a good </w:t>
      </w:r>
      <w:r>
        <w:t>idea</w:t>
      </w:r>
      <w:r w:rsidRPr="00FD3802">
        <w:t xml:space="preserve"> or a bad </w:t>
      </w:r>
      <w:r>
        <w:t>one</w:t>
      </w:r>
      <w:r w:rsidRPr="00FD3802">
        <w:t>?</w:t>
      </w:r>
      <w:r>
        <w:t xml:space="preserve"> </w:t>
      </w:r>
    </w:p>
    <w:p w:rsidR="00CB592E" w:rsidRDefault="00CB592E" w:rsidP="00FD3802"/>
    <w:p w:rsidR="00CB592E" w:rsidRDefault="00CB592E" w:rsidP="00FD3802">
      <w:r>
        <w:t xml:space="preserve">The question is simple, the answer isn’t: Do the sums add up? Will my offer stand up to the tests of customers, competition, time and technology? Do I need a partner to deliver it? If so, how should I choose one? </w:t>
      </w:r>
    </w:p>
    <w:p w:rsidR="00CB592E" w:rsidRDefault="00CB592E" w:rsidP="00FD3802"/>
    <w:p w:rsidR="00CB592E" w:rsidRPr="00FD3802" w:rsidRDefault="00CB592E" w:rsidP="00FD3802">
      <w:r>
        <w:t>Get it right, and the results can be very…..rewarding.</w:t>
      </w:r>
    </w:p>
    <w:p w:rsidR="00CB592E" w:rsidRDefault="00CB592E" w:rsidP="008D2AEF"/>
    <w:p w:rsidR="00CB592E" w:rsidRDefault="00CB592E" w:rsidP="008D2AEF"/>
    <w:sectPr w:rsidR="00CB592E" w:rsidSect="00775007">
      <w:footerReference w:type="default" r:id="rId8"/>
      <w:pgSz w:w="11906" w:h="16838"/>
      <w:pgMar w:top="1079" w:right="1440" w:bottom="5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2D1" w:rsidRDefault="00F122D1" w:rsidP="00F35076">
      <w:pPr>
        <w:spacing w:line="240" w:lineRule="auto"/>
      </w:pPr>
      <w:r>
        <w:separator/>
      </w:r>
    </w:p>
  </w:endnote>
  <w:endnote w:type="continuationSeparator" w:id="0">
    <w:p w:rsidR="00F122D1" w:rsidRDefault="00F122D1" w:rsidP="00F3507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92E" w:rsidRDefault="00CB592E">
    <w:pPr>
      <w:pStyle w:val="Footer"/>
    </w:pPr>
    <w:r>
      <w:t>©Roy Stephenson May 2011</w:t>
    </w:r>
  </w:p>
  <w:p w:rsidR="00CB592E" w:rsidRDefault="00CB59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2D1" w:rsidRDefault="00F122D1" w:rsidP="00F35076">
      <w:pPr>
        <w:spacing w:line="240" w:lineRule="auto"/>
      </w:pPr>
      <w:r>
        <w:separator/>
      </w:r>
    </w:p>
  </w:footnote>
  <w:footnote w:type="continuationSeparator" w:id="0">
    <w:p w:rsidR="00F122D1" w:rsidRDefault="00F122D1" w:rsidP="00F35076">
      <w:pPr>
        <w:spacing w:line="240" w:lineRule="auto"/>
      </w:pPr>
      <w:r>
        <w:continuationSeparator/>
      </w:r>
    </w:p>
  </w:footnote>
  <w:footnote w:id="1">
    <w:p w:rsidR="00CB592E" w:rsidRDefault="00CB592E" w:rsidP="00F35076">
      <w:pPr>
        <w:pStyle w:val="FootnoteText"/>
      </w:pPr>
      <w:r>
        <w:rPr>
          <w:rStyle w:val="FootnoteReference"/>
        </w:rPr>
        <w:footnoteRef/>
      </w:r>
      <w:r>
        <w:t xml:space="preserve"> Ernst and Young: “Understanding Customer Behavior in Retail Banking”, February 2010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A27DE"/>
    <w:multiLevelType w:val="hybridMultilevel"/>
    <w:tmpl w:val="60DC4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51B03E1"/>
    <w:multiLevelType w:val="hybridMultilevel"/>
    <w:tmpl w:val="FB1AA37A"/>
    <w:lvl w:ilvl="0" w:tplc="7322730E">
      <w:start w:val="1"/>
      <w:numFmt w:val="bullet"/>
      <w:lvlText w:val=""/>
      <w:lvlJc w:val="left"/>
      <w:pPr>
        <w:ind w:left="720" w:hanging="360"/>
      </w:pPr>
      <w:rPr>
        <w:rFonts w:ascii="Wingdings" w:hAnsi="Wingdings" w:hint="default"/>
        <w:color w:val="4F81BD"/>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AAD4A34"/>
    <w:multiLevelType w:val="hybridMultilevel"/>
    <w:tmpl w:val="E5EC2BD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81919"/>
    <w:rsid w:val="00081290"/>
    <w:rsid w:val="00083609"/>
    <w:rsid w:val="000C7BE7"/>
    <w:rsid w:val="000D1852"/>
    <w:rsid w:val="000D28F8"/>
    <w:rsid w:val="00133ED4"/>
    <w:rsid w:val="00171156"/>
    <w:rsid w:val="00171995"/>
    <w:rsid w:val="001B3275"/>
    <w:rsid w:val="001C4E6F"/>
    <w:rsid w:val="001C6575"/>
    <w:rsid w:val="00202026"/>
    <w:rsid w:val="00205546"/>
    <w:rsid w:val="00252257"/>
    <w:rsid w:val="002A3B35"/>
    <w:rsid w:val="002A7BC0"/>
    <w:rsid w:val="002F4F6F"/>
    <w:rsid w:val="003015ED"/>
    <w:rsid w:val="00311C9A"/>
    <w:rsid w:val="003605E7"/>
    <w:rsid w:val="00394BDB"/>
    <w:rsid w:val="003A5038"/>
    <w:rsid w:val="004A2C16"/>
    <w:rsid w:val="004A4838"/>
    <w:rsid w:val="004C4A9D"/>
    <w:rsid w:val="004D1DC6"/>
    <w:rsid w:val="005870BA"/>
    <w:rsid w:val="005D0618"/>
    <w:rsid w:val="00661258"/>
    <w:rsid w:val="006823E5"/>
    <w:rsid w:val="006E14AC"/>
    <w:rsid w:val="007574DD"/>
    <w:rsid w:val="00774C67"/>
    <w:rsid w:val="00775007"/>
    <w:rsid w:val="00805A36"/>
    <w:rsid w:val="00805CB7"/>
    <w:rsid w:val="008347B2"/>
    <w:rsid w:val="0087659C"/>
    <w:rsid w:val="008B133F"/>
    <w:rsid w:val="008D2AEF"/>
    <w:rsid w:val="0093371F"/>
    <w:rsid w:val="00933B20"/>
    <w:rsid w:val="00943AD4"/>
    <w:rsid w:val="009474A7"/>
    <w:rsid w:val="009502CE"/>
    <w:rsid w:val="00974217"/>
    <w:rsid w:val="00981919"/>
    <w:rsid w:val="00A15553"/>
    <w:rsid w:val="00A32EB4"/>
    <w:rsid w:val="00A66016"/>
    <w:rsid w:val="00A808A1"/>
    <w:rsid w:val="00A82753"/>
    <w:rsid w:val="00A9068C"/>
    <w:rsid w:val="00AA7FCB"/>
    <w:rsid w:val="00B05047"/>
    <w:rsid w:val="00B55E11"/>
    <w:rsid w:val="00B60901"/>
    <w:rsid w:val="00BB59DA"/>
    <w:rsid w:val="00BC223E"/>
    <w:rsid w:val="00C12177"/>
    <w:rsid w:val="00C12355"/>
    <w:rsid w:val="00C73DC4"/>
    <w:rsid w:val="00C96A1F"/>
    <w:rsid w:val="00CB32F2"/>
    <w:rsid w:val="00CB592E"/>
    <w:rsid w:val="00CE5A96"/>
    <w:rsid w:val="00CF205C"/>
    <w:rsid w:val="00CF21D7"/>
    <w:rsid w:val="00DC77A9"/>
    <w:rsid w:val="00DC7859"/>
    <w:rsid w:val="00DE22CD"/>
    <w:rsid w:val="00E01B9A"/>
    <w:rsid w:val="00E063B3"/>
    <w:rsid w:val="00F122D1"/>
    <w:rsid w:val="00F35076"/>
    <w:rsid w:val="00F8454B"/>
    <w:rsid w:val="00FD380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7A9"/>
    <w:pPr>
      <w:spacing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1919"/>
    <w:pPr>
      <w:ind w:left="720"/>
      <w:contextualSpacing/>
    </w:pPr>
  </w:style>
  <w:style w:type="paragraph" w:styleId="BalloonText">
    <w:name w:val="Balloon Text"/>
    <w:basedOn w:val="Normal"/>
    <w:link w:val="BalloonTextChar"/>
    <w:uiPriority w:val="99"/>
    <w:semiHidden/>
    <w:rsid w:val="00C73DC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73DC4"/>
    <w:rPr>
      <w:rFonts w:ascii="Tahoma" w:hAnsi="Tahoma" w:cs="Tahoma"/>
      <w:sz w:val="16"/>
      <w:szCs w:val="16"/>
    </w:rPr>
  </w:style>
  <w:style w:type="paragraph" w:styleId="FootnoteText">
    <w:name w:val="footnote text"/>
    <w:basedOn w:val="Normal"/>
    <w:link w:val="FootnoteTextChar"/>
    <w:uiPriority w:val="99"/>
    <w:semiHidden/>
    <w:rsid w:val="00F35076"/>
    <w:pPr>
      <w:spacing w:line="240" w:lineRule="auto"/>
    </w:pPr>
    <w:rPr>
      <w:sz w:val="20"/>
      <w:szCs w:val="20"/>
    </w:rPr>
  </w:style>
  <w:style w:type="character" w:customStyle="1" w:styleId="FootnoteTextChar">
    <w:name w:val="Footnote Text Char"/>
    <w:basedOn w:val="DefaultParagraphFont"/>
    <w:link w:val="FootnoteText"/>
    <w:uiPriority w:val="99"/>
    <w:semiHidden/>
    <w:locked/>
    <w:rsid w:val="00F35076"/>
    <w:rPr>
      <w:rFonts w:cs="Times New Roman"/>
      <w:sz w:val="20"/>
      <w:szCs w:val="20"/>
    </w:rPr>
  </w:style>
  <w:style w:type="character" w:styleId="FootnoteReference">
    <w:name w:val="footnote reference"/>
    <w:basedOn w:val="DefaultParagraphFont"/>
    <w:uiPriority w:val="99"/>
    <w:semiHidden/>
    <w:rsid w:val="00F35076"/>
    <w:rPr>
      <w:rFonts w:cs="Times New Roman"/>
      <w:vertAlign w:val="superscript"/>
    </w:rPr>
  </w:style>
  <w:style w:type="paragraph" w:styleId="Header">
    <w:name w:val="header"/>
    <w:basedOn w:val="Normal"/>
    <w:link w:val="HeaderChar"/>
    <w:uiPriority w:val="99"/>
    <w:semiHidden/>
    <w:rsid w:val="00CB32F2"/>
    <w:pPr>
      <w:tabs>
        <w:tab w:val="center" w:pos="4513"/>
        <w:tab w:val="right" w:pos="9026"/>
      </w:tabs>
      <w:spacing w:line="240" w:lineRule="auto"/>
    </w:pPr>
  </w:style>
  <w:style w:type="character" w:customStyle="1" w:styleId="HeaderChar">
    <w:name w:val="Header Char"/>
    <w:basedOn w:val="DefaultParagraphFont"/>
    <w:link w:val="Header"/>
    <w:uiPriority w:val="99"/>
    <w:semiHidden/>
    <w:locked/>
    <w:rsid w:val="00CB32F2"/>
    <w:rPr>
      <w:rFonts w:cs="Times New Roman"/>
    </w:rPr>
  </w:style>
  <w:style w:type="paragraph" w:styleId="Footer">
    <w:name w:val="footer"/>
    <w:basedOn w:val="Normal"/>
    <w:link w:val="FooterChar"/>
    <w:uiPriority w:val="99"/>
    <w:rsid w:val="00CB32F2"/>
    <w:pPr>
      <w:tabs>
        <w:tab w:val="center" w:pos="4513"/>
        <w:tab w:val="right" w:pos="9026"/>
      </w:tabs>
      <w:spacing w:line="240" w:lineRule="auto"/>
    </w:pPr>
  </w:style>
  <w:style w:type="character" w:customStyle="1" w:styleId="FooterChar">
    <w:name w:val="Footer Char"/>
    <w:basedOn w:val="DefaultParagraphFont"/>
    <w:link w:val="Footer"/>
    <w:uiPriority w:val="99"/>
    <w:locked/>
    <w:rsid w:val="00CB32F2"/>
    <w:rPr>
      <w:rFonts w:cs="Times New Roman"/>
    </w:rPr>
  </w:style>
  <w:style w:type="character" w:styleId="FollowedHyperlink">
    <w:name w:val="FollowedHyperlink"/>
    <w:basedOn w:val="DefaultParagraphFont"/>
    <w:uiPriority w:val="99"/>
    <w:rsid w:val="006823E5"/>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1344</Words>
  <Characters>7661</Characters>
  <Application>Microsoft Office Word</Application>
  <DocSecurity>0</DocSecurity>
  <Lines>63</Lines>
  <Paragraphs>17</Paragraphs>
  <ScaleCrop>false</ScaleCrop>
  <Company>Stevo</Company>
  <LinksUpToDate>false</LinksUpToDate>
  <CharactersWithSpaces>8988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Stephenson</dc:creator>
  <cp:lastModifiedBy>Jena</cp:lastModifiedBy>
  <cp:revision>2</cp:revision>
  <dcterms:created xsi:type="dcterms:W3CDTF">2011-06-20T13:39:00Z</dcterms:created>
  <dcterms:modified xsi:type="dcterms:W3CDTF">2011-06-20T13:39:00Z</dcterms:modified>
</cp:coreProperties>
</file>